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6C" w:rsidRDefault="00946D6C" w:rsidP="00A23157">
      <w:pPr>
        <w:rPr>
          <w:rFonts w:ascii="Times New Roman" w:hAnsi="Times New Roman" w:cs="Times New Roman"/>
          <w:sz w:val="28"/>
          <w:szCs w:val="28"/>
        </w:rPr>
      </w:pPr>
    </w:p>
    <w:p w:rsidR="00946D6C" w:rsidRDefault="00946D6C" w:rsidP="00A23157">
      <w:pPr>
        <w:rPr>
          <w:rFonts w:ascii="Times New Roman" w:hAnsi="Times New Roman" w:cs="Times New Roman"/>
          <w:sz w:val="28"/>
          <w:szCs w:val="28"/>
        </w:rPr>
      </w:pP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АДМИНИСТРАЦИЯ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муниципального образования                              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Заречный сельсовет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Ташлинского</w:t>
      </w:r>
      <w:proofErr w:type="spellEnd"/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Оренбургской области</w:t>
      </w:r>
    </w:p>
    <w:p w:rsidR="00946D6C" w:rsidRDefault="00946D6C" w:rsidP="00946D6C">
      <w:pPr>
        <w:autoSpaceDE w:val="0"/>
        <w:autoSpaceDN w:val="0"/>
        <w:adjustRightInd w:val="0"/>
        <w:spacing w:after="0" w:line="240" w:lineRule="auto"/>
        <w:ind w:right="5527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   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ind w:right="5527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ПОСТАНОВЛЕНИЕ</w:t>
      </w:r>
    </w:p>
    <w:p w:rsidR="00946D6C" w:rsidRPr="00946D6C" w:rsidRDefault="00946D6C" w:rsidP="00946D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4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94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94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946D6C" w:rsidRPr="00946D6C" w:rsidRDefault="00946D6C" w:rsidP="00946D6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946D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Заречное</w:t>
      </w:r>
    </w:p>
    <w:p w:rsidR="00214039" w:rsidRPr="00214039" w:rsidRDefault="00214039" w:rsidP="00214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39" w:rsidRPr="00214039" w:rsidRDefault="00214039" w:rsidP="002140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методики</w:t>
      </w:r>
    </w:p>
    <w:p w:rsidR="00697218" w:rsidRPr="00697218" w:rsidRDefault="00214039" w:rsidP="006972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прогнозирования поступлений доходов в бюджет муниципального образования </w:t>
      </w:r>
      <w:r w:rsidR="00360C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Заречный</w:t>
      </w: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360C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Ташлинского</w:t>
      </w:r>
      <w:proofErr w:type="spellEnd"/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Оренбургской области, бюджетные полномочия главного администратора по которым осуществляет Администрации муниципального образования </w:t>
      </w:r>
      <w:r w:rsidR="00360C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Заречный</w:t>
      </w: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360C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Ташлинского</w:t>
      </w:r>
      <w:proofErr w:type="spellEnd"/>
      <w:r w:rsidR="00360C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140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Оренбургской области</w:t>
      </w:r>
    </w:p>
    <w:p w:rsidR="00A23157" w:rsidRPr="00A23157" w:rsidRDefault="00A23157" w:rsidP="00A23157">
      <w:pPr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A23157" w:rsidRPr="00690906" w:rsidRDefault="00A23157" w:rsidP="00A231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906">
        <w:rPr>
          <w:rFonts w:ascii="Times New Roman" w:hAnsi="Times New Roman" w:cs="Times New Roman"/>
          <w:sz w:val="28"/>
          <w:szCs w:val="28"/>
        </w:rPr>
        <w:t>Утвердить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690906" w:rsidRPr="00690906">
        <w:rPr>
          <w:rFonts w:ascii="Times New Roman" w:hAnsi="Times New Roman" w:cs="Times New Roman"/>
          <w:sz w:val="28"/>
          <w:szCs w:val="28"/>
        </w:rPr>
        <w:t>м</w:t>
      </w:r>
      <w:r w:rsidR="007947DC" w:rsidRPr="00690906">
        <w:rPr>
          <w:rFonts w:ascii="Times New Roman" w:hAnsi="Times New Roman" w:cs="Times New Roman"/>
          <w:sz w:val="28"/>
          <w:szCs w:val="28"/>
        </w:rPr>
        <w:t>етодику</w:t>
      </w:r>
      <w:r w:rsidR="00690906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 w:rsidR="00620933">
        <w:rPr>
          <w:rFonts w:ascii="Times New Roman" w:hAnsi="Times New Roman" w:cs="Times New Roman"/>
          <w:sz w:val="28"/>
          <w:szCs w:val="28"/>
        </w:rPr>
        <w:t>Администр</w:t>
      </w:r>
      <w:r w:rsidR="00360C8B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Заречный сельсовет, </w:t>
      </w:r>
      <w:proofErr w:type="spellStart"/>
      <w:r w:rsidR="00360C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947DC"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620933">
        <w:rPr>
          <w:rFonts w:ascii="Times New Roman" w:hAnsi="Times New Roman" w:cs="Times New Roman"/>
          <w:sz w:val="28"/>
          <w:szCs w:val="28"/>
        </w:rPr>
        <w:t>,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</w:t>
      </w:r>
      <w:r w:rsidR="00360C8B">
        <w:rPr>
          <w:rFonts w:ascii="Times New Roman" w:hAnsi="Times New Roman" w:cs="Times New Roman"/>
          <w:sz w:val="28"/>
          <w:szCs w:val="28"/>
        </w:rPr>
        <w:t xml:space="preserve">ратора по которым осуществляет </w:t>
      </w:r>
      <w:r w:rsidR="007947DC" w:rsidRPr="00690906">
        <w:rPr>
          <w:rFonts w:ascii="Times New Roman" w:hAnsi="Times New Roman" w:cs="Times New Roman"/>
          <w:sz w:val="28"/>
          <w:szCs w:val="28"/>
        </w:rPr>
        <w:t>Администраци</w:t>
      </w:r>
      <w:r w:rsidR="0035438D">
        <w:rPr>
          <w:rFonts w:ascii="Times New Roman" w:hAnsi="Times New Roman" w:cs="Times New Roman"/>
          <w:sz w:val="28"/>
          <w:szCs w:val="28"/>
        </w:rPr>
        <w:t>я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0933">
        <w:rPr>
          <w:rFonts w:ascii="Times New Roman" w:hAnsi="Times New Roman" w:cs="Times New Roman"/>
          <w:sz w:val="28"/>
          <w:szCs w:val="28"/>
        </w:rPr>
        <w:t xml:space="preserve"> </w:t>
      </w:r>
      <w:r w:rsidR="00360C8B">
        <w:rPr>
          <w:rFonts w:ascii="Times New Roman" w:hAnsi="Times New Roman" w:cs="Times New Roman"/>
          <w:sz w:val="28"/>
          <w:szCs w:val="28"/>
        </w:rPr>
        <w:t>Заречный</w:t>
      </w:r>
      <w:r w:rsidR="006209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0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C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947DC"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69090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5438D" w:rsidRDefault="00A23157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A50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60C8B">
        <w:rPr>
          <w:rFonts w:ascii="Times New Roman" w:eastAsia="Calibri" w:hAnsi="Times New Roman" w:cs="Times New Roman"/>
          <w:sz w:val="28"/>
          <w:szCs w:val="28"/>
        </w:rPr>
        <w:t>Заречный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C8B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spellStart"/>
      <w:r w:rsidR="00360C8B">
        <w:rPr>
          <w:rFonts w:ascii="Times New Roman" w:eastAsia="Calibri" w:hAnsi="Times New Roman" w:cs="Times New Roman"/>
          <w:sz w:val="28"/>
          <w:szCs w:val="28"/>
        </w:rPr>
        <w:t>Ташлинского</w:t>
      </w:r>
      <w:proofErr w:type="spellEnd"/>
      <w:r w:rsidR="005A5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>район</w:t>
      </w:r>
      <w:r w:rsidR="005A504D">
        <w:rPr>
          <w:rFonts w:ascii="Times New Roman" w:eastAsia="Calibri" w:hAnsi="Times New Roman" w:cs="Times New Roman"/>
          <w:sz w:val="28"/>
          <w:szCs w:val="28"/>
        </w:rPr>
        <w:t>а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</w:t>
      </w:r>
      <w:r w:rsidR="005A504D">
        <w:rPr>
          <w:rFonts w:ascii="Times New Roman" w:hAnsi="Times New Roman" w:cs="Times New Roman"/>
          <w:sz w:val="28"/>
          <w:szCs w:val="28"/>
        </w:rPr>
        <w:t xml:space="preserve"> от </w:t>
      </w:r>
      <w:r w:rsidR="0024116A">
        <w:rPr>
          <w:rFonts w:ascii="Times New Roman" w:hAnsi="Times New Roman" w:cs="Times New Roman"/>
          <w:sz w:val="28"/>
          <w:szCs w:val="28"/>
        </w:rPr>
        <w:t>28.10.20166</w:t>
      </w:r>
      <w:r w:rsidR="005A504D">
        <w:rPr>
          <w:rFonts w:ascii="Times New Roman" w:hAnsi="Times New Roman" w:cs="Times New Roman"/>
          <w:sz w:val="28"/>
          <w:szCs w:val="28"/>
        </w:rPr>
        <w:t xml:space="preserve"> №</w:t>
      </w:r>
      <w:r w:rsidR="0024116A">
        <w:rPr>
          <w:rFonts w:ascii="Times New Roman" w:hAnsi="Times New Roman" w:cs="Times New Roman"/>
          <w:sz w:val="28"/>
          <w:szCs w:val="28"/>
        </w:rPr>
        <w:t xml:space="preserve"> 61/1-п</w:t>
      </w:r>
      <w:r w:rsidR="00611328">
        <w:rPr>
          <w:rFonts w:ascii="Times New Roman" w:hAnsi="Times New Roman" w:cs="Times New Roman"/>
          <w:sz w:val="28"/>
          <w:szCs w:val="28"/>
        </w:rPr>
        <w:t xml:space="preserve"> </w:t>
      </w:r>
      <w:r w:rsidR="00611328" w:rsidRPr="00611328">
        <w:rPr>
          <w:rFonts w:ascii="Times New Roman" w:hAnsi="Times New Roman" w:cs="Times New Roman"/>
          <w:sz w:val="28"/>
          <w:szCs w:val="28"/>
        </w:rPr>
        <w:t>«Об утверждении методики прогнозирования поступления доходов в местный бю</w:t>
      </w:r>
      <w:r w:rsidR="0024116A">
        <w:rPr>
          <w:rFonts w:ascii="Times New Roman" w:hAnsi="Times New Roman" w:cs="Times New Roman"/>
          <w:sz w:val="28"/>
          <w:szCs w:val="28"/>
        </w:rPr>
        <w:t>джет Муниципального образования Заречный</w:t>
      </w:r>
      <w:r w:rsidR="00611328" w:rsidRPr="0061132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11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11328" w:rsidRPr="006113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611328" w:rsidRPr="00611328" w:rsidRDefault="00611328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100B6A"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 w:rsidR="00100B6A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proofErr w:type="gramStart"/>
      <w:r w:rsidR="00100B6A">
        <w:rPr>
          <w:rFonts w:ascii="Times New Roman" w:hAnsi="Times New Roman" w:cs="Times New Roman"/>
          <w:sz w:val="28"/>
          <w:szCs w:val="28"/>
        </w:rPr>
        <w:t xml:space="preserve">на </w:t>
      </w:r>
      <w:r w:rsidRPr="00A23157">
        <w:rPr>
          <w:rFonts w:ascii="Times New Roman" w:hAnsi="Times New Roman" w:cs="Times New Roman"/>
          <w:sz w:val="28"/>
          <w:szCs w:val="28"/>
        </w:rPr>
        <w:t xml:space="preserve"> правоотношени</w:t>
      </w:r>
      <w:r w:rsidR="00100B6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00B6A">
        <w:rPr>
          <w:rFonts w:ascii="Times New Roman" w:hAnsi="Times New Roman" w:cs="Times New Roman"/>
          <w:sz w:val="28"/>
          <w:szCs w:val="28"/>
        </w:rPr>
        <w:t>шие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с 01.01.2022года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697218" w:rsidRPr="00697218" w:rsidRDefault="00697218" w:rsidP="0069721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7218" w:rsidRPr="00697218" w:rsidRDefault="00697218" w:rsidP="00697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697218" w:rsidRPr="00697218" w:rsidTr="00AC0EB6">
        <w:tc>
          <w:tcPr>
            <w:tcW w:w="3227" w:type="dxa"/>
            <w:shd w:val="clear" w:color="auto" w:fill="auto"/>
          </w:tcPr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21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650E88" wp14:editId="1DEB5D9C">
                  <wp:extent cx="1543050" cy="1159246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86" cy="126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Бескровный</w:t>
            </w: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218" w:rsidRPr="00697218" w:rsidRDefault="00697218" w:rsidP="0069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218" w:rsidRDefault="00697218" w:rsidP="0069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97218" w:rsidRDefault="00697218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218" w:rsidRDefault="00697218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039" w:rsidRPr="00214039" w:rsidRDefault="00697218" w:rsidP="0069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П</w:t>
      </w:r>
      <w:r w:rsidR="00214039"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к Постановлению</w:t>
      </w:r>
    </w:p>
    <w:p w:rsidR="00697218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214039" w:rsidRPr="00214039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972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540A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411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18.03.2022</w:t>
      </w:r>
      <w:r w:rsidR="00540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411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33-п</w:t>
      </w:r>
    </w:p>
    <w:p w:rsidR="007947DC" w:rsidRDefault="00794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4116A">
        <w:rPr>
          <w:rFonts w:ascii="Times New Roman" w:hAnsi="Times New Roman" w:cs="Times New Roman"/>
          <w:b/>
          <w:sz w:val="28"/>
          <w:szCs w:val="28"/>
        </w:rPr>
        <w:t xml:space="preserve"> Заречный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</w:t>
      </w:r>
      <w:proofErr w:type="gramStart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осуществляет  </w:t>
      </w:r>
      <w:r w:rsidR="00724176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16A">
        <w:rPr>
          <w:rFonts w:ascii="Times New Roman" w:hAnsi="Times New Roman" w:cs="Times New Roman"/>
          <w:b/>
          <w:sz w:val="28"/>
          <w:szCs w:val="28"/>
        </w:rPr>
        <w:t>Заречный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1.1.Настоящая методика прогнозирования поступлений доходов в бюджет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24116A">
        <w:rPr>
          <w:rFonts w:ascii="Times New Roman" w:hAnsi="Times New Roman" w:cs="Times New Roman"/>
          <w:sz w:val="28"/>
          <w:szCs w:val="28"/>
        </w:rPr>
        <w:t>Заречный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24116A">
        <w:rPr>
          <w:rFonts w:ascii="Times New Roman" w:hAnsi="Times New Roman" w:cs="Times New Roman"/>
          <w:sz w:val="28"/>
          <w:szCs w:val="28"/>
        </w:rPr>
        <w:t>Заречный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24116A">
        <w:rPr>
          <w:rFonts w:ascii="Times New Roman" w:hAnsi="Times New Roman" w:cs="Times New Roman"/>
          <w:sz w:val="28"/>
          <w:szCs w:val="28"/>
        </w:rPr>
        <w:t>Заречный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 w:rsidRPr="005A6297">
        <w:rPr>
          <w:rFonts w:ascii="Times New Roman" w:hAnsi="Times New Roman" w:cs="Times New Roman"/>
          <w:sz w:val="28"/>
          <w:szCs w:val="28"/>
        </w:rPr>
        <w:t xml:space="preserve"> 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5A6297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  </w:t>
      </w:r>
      <w:r w:rsidR="00FA2F05"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</w:t>
      </w:r>
      <w:r w:rsidR="0068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21298" w:rsidRPr="009F1F1D" w:rsidRDefault="00721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595AE0" w:rsidRPr="009F1F1D" w:rsidTr="003E1DA3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EE4E59" w:rsidRPr="00CD0A93" w:rsidRDefault="00EE4E59" w:rsidP="00EE4E5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EE4E59" w:rsidRPr="00EE4E59" w:rsidRDefault="00EE4E59" w:rsidP="00100B6A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100B6A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="00100B6A"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EE4E59" w:rsidRPr="006367D1" w:rsidRDefault="000339B1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  <w:lang w:eastAsia="en-US"/>
              </w:rPr>
              <w:t>Дпп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en-US"/>
              </w:rPr>
              <w:t>=(Д1ф+Д2ф+Д3ф</w:t>
            </w:r>
            <w:r w:rsidR="006367D1">
              <w:rPr>
                <w:rFonts w:eastAsia="Calibri" w:cs="Times New Roman"/>
                <w:sz w:val="16"/>
                <w:szCs w:val="16"/>
                <w:lang w:eastAsia="en-US"/>
              </w:rPr>
              <w:t>)/3</w:t>
            </w:r>
          </w:p>
        </w:tc>
        <w:tc>
          <w:tcPr>
            <w:tcW w:w="2127" w:type="dxa"/>
          </w:tcPr>
          <w:p w:rsidR="006367D1" w:rsidRPr="006367D1" w:rsidRDefault="006367D1" w:rsidP="0063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EE4E59" w:rsidRPr="007D55BD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Дпп</w:t>
            </w:r>
            <w:proofErr w:type="spellEnd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прогнозируемая сумма поступлений;</w:t>
            </w:r>
          </w:p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Д1ф, Д2</w:t>
            </w:r>
            <w:proofErr w:type="gram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,Д</w:t>
            </w:r>
            <w:proofErr w:type="gramEnd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- 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предшествующих текущему году;</w:t>
            </w:r>
          </w:p>
          <w:p w:rsidR="00EE4E59" w:rsidRPr="007D55BD" w:rsidRDefault="00EE4E59" w:rsidP="007D55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EE4E59" w:rsidRDefault="00EE4E59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EE4E59" w:rsidRDefault="00100B6A" w:rsidP="00100B6A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E59"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E4E59" w:rsidRPr="00F1592A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EE4E59" w:rsidRDefault="008D2952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8D2952" w:rsidRDefault="008D2952" w:rsidP="00973616">
            <w:pPr>
              <w:pStyle w:val="a5"/>
              <w:jc w:val="left"/>
            </w:pPr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276A26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5D4349" w:rsidRDefault="00AA2F60" w:rsidP="00100B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8D2952" w:rsidRPr="00973616" w:rsidRDefault="008D2952" w:rsidP="00973616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п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находящее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ся в оперативном управлении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за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rPr>
          <w:trHeight w:val="1538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8D2952" w:rsidRPr="003E1DA3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Д= (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(нас</w:t>
            </w:r>
            <w:proofErr w:type="gram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 )</w:t>
            </w:r>
            <w:proofErr w:type="gram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*Ик</w:t>
            </w:r>
          </w:p>
        </w:tc>
        <w:tc>
          <w:tcPr>
            <w:tcW w:w="2127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rPr>
          <w:trHeight w:val="1211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907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8D2952" w:rsidRPr="004A52B3" w:rsidRDefault="008D2952" w:rsidP="004A52B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A52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8D2952" w:rsidRPr="00E47243" w:rsidRDefault="008D2952" w:rsidP="00E4724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8D2952" w:rsidRPr="00E16254" w:rsidRDefault="008D2952" w:rsidP="00E162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Ф1+Ф2</w:t>
            </w:r>
          </w:p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8D2952" w:rsidRDefault="008D2952" w:rsidP="00E16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Ф1-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Ф2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сельских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724D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C96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8D2952" w:rsidRPr="00C9601F" w:rsidRDefault="008D2952" w:rsidP="00C9601F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49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8E7E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298"/>
    <w:rsid w:val="00013F5A"/>
    <w:rsid w:val="0002794D"/>
    <w:rsid w:val="000339B1"/>
    <w:rsid w:val="00093F89"/>
    <w:rsid w:val="000D1308"/>
    <w:rsid w:val="00100B6A"/>
    <w:rsid w:val="00137870"/>
    <w:rsid w:val="00157988"/>
    <w:rsid w:val="00167AE9"/>
    <w:rsid w:val="00177DAA"/>
    <w:rsid w:val="001A1240"/>
    <w:rsid w:val="001B5751"/>
    <w:rsid w:val="001B7B2E"/>
    <w:rsid w:val="00214039"/>
    <w:rsid w:val="0024116A"/>
    <w:rsid w:val="00267240"/>
    <w:rsid w:val="002A1B1F"/>
    <w:rsid w:val="002C1182"/>
    <w:rsid w:val="002C5971"/>
    <w:rsid w:val="002D4478"/>
    <w:rsid w:val="002E6EB6"/>
    <w:rsid w:val="003043E6"/>
    <w:rsid w:val="0031629C"/>
    <w:rsid w:val="0034387E"/>
    <w:rsid w:val="0035438D"/>
    <w:rsid w:val="00360C8B"/>
    <w:rsid w:val="00363D2F"/>
    <w:rsid w:val="003B3521"/>
    <w:rsid w:val="003C791B"/>
    <w:rsid w:val="003E1DA3"/>
    <w:rsid w:val="003F0C4B"/>
    <w:rsid w:val="00436E30"/>
    <w:rsid w:val="00437202"/>
    <w:rsid w:val="00440EDF"/>
    <w:rsid w:val="00465ACC"/>
    <w:rsid w:val="0048251E"/>
    <w:rsid w:val="004936E5"/>
    <w:rsid w:val="004A52B3"/>
    <w:rsid w:val="004D07D0"/>
    <w:rsid w:val="00521E8F"/>
    <w:rsid w:val="00540A0A"/>
    <w:rsid w:val="00576C4B"/>
    <w:rsid w:val="00592DE8"/>
    <w:rsid w:val="00595AE0"/>
    <w:rsid w:val="005A504D"/>
    <w:rsid w:val="005A6297"/>
    <w:rsid w:val="005E0B92"/>
    <w:rsid w:val="00611328"/>
    <w:rsid w:val="00620933"/>
    <w:rsid w:val="00635AC8"/>
    <w:rsid w:val="006367D1"/>
    <w:rsid w:val="006465D6"/>
    <w:rsid w:val="00651065"/>
    <w:rsid w:val="00681D28"/>
    <w:rsid w:val="00690906"/>
    <w:rsid w:val="00690CA4"/>
    <w:rsid w:val="00697218"/>
    <w:rsid w:val="006B7C2D"/>
    <w:rsid w:val="006C3491"/>
    <w:rsid w:val="006D1A9B"/>
    <w:rsid w:val="006F0BB2"/>
    <w:rsid w:val="00705925"/>
    <w:rsid w:val="0071672A"/>
    <w:rsid w:val="00721298"/>
    <w:rsid w:val="00724176"/>
    <w:rsid w:val="00724DF7"/>
    <w:rsid w:val="007325D9"/>
    <w:rsid w:val="00740D24"/>
    <w:rsid w:val="007655AF"/>
    <w:rsid w:val="00793D8F"/>
    <w:rsid w:val="007947DC"/>
    <w:rsid w:val="007A7BA6"/>
    <w:rsid w:val="007B2BCB"/>
    <w:rsid w:val="007D55BD"/>
    <w:rsid w:val="007E54C1"/>
    <w:rsid w:val="00812BBB"/>
    <w:rsid w:val="00814D85"/>
    <w:rsid w:val="00870F9E"/>
    <w:rsid w:val="008A5D74"/>
    <w:rsid w:val="008D09CC"/>
    <w:rsid w:val="008D2952"/>
    <w:rsid w:val="008D5D8A"/>
    <w:rsid w:val="008E7E1A"/>
    <w:rsid w:val="00907337"/>
    <w:rsid w:val="00946D6C"/>
    <w:rsid w:val="009473FF"/>
    <w:rsid w:val="0095042B"/>
    <w:rsid w:val="00973616"/>
    <w:rsid w:val="009A6E01"/>
    <w:rsid w:val="009B228B"/>
    <w:rsid w:val="009C10CA"/>
    <w:rsid w:val="009E338E"/>
    <w:rsid w:val="009F1F1D"/>
    <w:rsid w:val="00A23157"/>
    <w:rsid w:val="00AA2F60"/>
    <w:rsid w:val="00AA39FE"/>
    <w:rsid w:val="00AD0D1D"/>
    <w:rsid w:val="00AE6481"/>
    <w:rsid w:val="00B0623A"/>
    <w:rsid w:val="00B44695"/>
    <w:rsid w:val="00B4557C"/>
    <w:rsid w:val="00B82146"/>
    <w:rsid w:val="00BE2415"/>
    <w:rsid w:val="00BF6F88"/>
    <w:rsid w:val="00C40540"/>
    <w:rsid w:val="00C40E01"/>
    <w:rsid w:val="00C610C0"/>
    <w:rsid w:val="00C81F93"/>
    <w:rsid w:val="00C860C7"/>
    <w:rsid w:val="00C9601F"/>
    <w:rsid w:val="00CD0A93"/>
    <w:rsid w:val="00CD7C5A"/>
    <w:rsid w:val="00D01440"/>
    <w:rsid w:val="00D25A11"/>
    <w:rsid w:val="00D95493"/>
    <w:rsid w:val="00E160B1"/>
    <w:rsid w:val="00E16254"/>
    <w:rsid w:val="00E47243"/>
    <w:rsid w:val="00EC55F4"/>
    <w:rsid w:val="00ED73F7"/>
    <w:rsid w:val="00EE4E59"/>
    <w:rsid w:val="00F02ACB"/>
    <w:rsid w:val="00F11978"/>
    <w:rsid w:val="00F1592A"/>
    <w:rsid w:val="00F33946"/>
    <w:rsid w:val="00F33A3D"/>
    <w:rsid w:val="00F536E8"/>
    <w:rsid w:val="00FA2F05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A3E1-93B4-499D-BC2A-1D9B85FE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customStyle="1" w:styleId="a5">
    <w:name w:val="Нормальный (таблица)"/>
    <w:basedOn w:val="a"/>
    <w:next w:val="a"/>
    <w:uiPriority w:val="99"/>
    <w:rsid w:val="004A52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Char Char Знак Знак Знак Знак"/>
    <w:basedOn w:val="a"/>
    <w:rsid w:val="00946D6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1B71-C854-495A-AD7C-0EAA3E8D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Zarechnyi</cp:lastModifiedBy>
  <cp:revision>32</cp:revision>
  <cp:lastPrinted>2021-12-01T04:15:00Z</cp:lastPrinted>
  <dcterms:created xsi:type="dcterms:W3CDTF">2022-02-01T11:03:00Z</dcterms:created>
  <dcterms:modified xsi:type="dcterms:W3CDTF">2022-03-25T04:50:00Z</dcterms:modified>
</cp:coreProperties>
</file>